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2905125</wp:posOffset>
            </wp:positionH>
            <wp:positionV relativeFrom="paragraph">
              <wp:posOffset>-437515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46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Казановского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8"/>
          <w:szCs w:val="28"/>
        </w:rPr>
        <w:t xml:space="preserve"> </w:t>
      </w:r>
      <w:r>
        <w:rPr>
          <w:rFonts w:eastAsia="Calibri" w:cs="Times New Roman"/>
          <w:b w:val="false"/>
          <w:bCs w:val="false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b w:val="false"/>
          <w:bCs w:val="false"/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Казановского сельского поселения на 2025 год и на плановый период 2026 и 2027 годов, принятый Решением Совета депутатов Казановского сельского поселения Варненского муниципального района Челябинской области от 20.12.2024 года № 33 (с изменениями от 13.01.2025г. № 01; от 31.01.2025г. № 06; от 28.02.2025г. № 07; от 31.03.2025г. № 09; от 30.04.2025г. № 12; от 30.05.2025г. № 16; от 30.06.2025г. № 18; от 29.08.2025г. № 19)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6114,68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6115,94 тыс. рублей», слова «в сумме 4698,68 тыс. рублей» заменить на слова «в сумме 4699,94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6513,79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6515,05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Казановского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Т.Н.Коломыцева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firstLine="42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Казановского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46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Казановского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Казановского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584" w:type="dxa"/>
        <w:jc w:val="left"/>
        <w:tblInd w:w="-2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819"/>
        <w:gridCol w:w="1089"/>
        <w:gridCol w:w="1107"/>
        <w:gridCol w:w="536"/>
        <w:gridCol w:w="880"/>
        <w:gridCol w:w="880"/>
        <w:gridCol w:w="877"/>
      </w:tblGrid>
      <w:tr>
        <w:trPr>
          <w:trHeight w:val="255" w:hRule="atLeast"/>
        </w:trPr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  <w:bookmarkStart w:id="1" w:name="_GoBack"/>
          </w:p>
        </w:tc>
        <w:tc>
          <w:tcPr>
            <w:tcW w:w="3551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6 515,05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2 867,00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2 755,00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6 515,05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2 867,00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2 755,00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3 329,98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1 509,53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1 608,90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840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2 106,17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2 100,55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2 100,55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1 260,10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770,91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2,63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5,62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5,62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5,62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11,31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450,51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450,51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297,48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297,48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732,28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732,28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646,03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636,02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636,02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10,01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14,94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453,27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483,00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536,31</w:t>
            </w:r>
          </w:p>
        </w:tc>
      </w:tr>
      <w:tr>
        <w:trPr>
          <w:trHeight w:val="45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451,26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595,79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395,20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484,13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32,20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80,64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Казановского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46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Казановского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Казановского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70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653"/>
        <w:gridCol w:w="819"/>
        <w:gridCol w:w="1089"/>
        <w:gridCol w:w="1106"/>
        <w:gridCol w:w="536"/>
        <w:gridCol w:w="881"/>
        <w:gridCol w:w="878"/>
        <w:gridCol w:w="880"/>
      </w:tblGrid>
      <w:tr>
        <w:trPr>
          <w:trHeight w:val="255" w:hRule="atLeast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03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8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6 515,05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2 867,00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2 755,00</w:t>
            </w:r>
          </w:p>
        </w:tc>
      </w:tr>
      <w:tr>
        <w:trPr>
          <w:trHeight w:val="63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6 515,05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2 867,00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2 755,00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3 329,98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1 509,53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1 608,90</w:t>
            </w:r>
          </w:p>
        </w:tc>
      </w:tr>
      <w:tr>
        <w:trPr>
          <w:trHeight w:val="63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105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2 106,17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2 100,55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2 100,55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504,93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1 260,10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770,91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2,63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5,62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5,62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5,62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536,30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502,30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11,31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11,31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84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747,99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450,51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450,51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297,48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297,48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732,28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732,28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646,03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636,02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74,48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3,19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636,02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74,48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3,19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10,01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42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1 403,60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1 078,79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931,51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14,94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453,27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483,00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536,31</w:t>
            </w:r>
          </w:p>
        </w:tc>
      </w:tr>
      <w:tr>
        <w:trPr>
          <w:trHeight w:val="45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451,26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595,79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395,20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484,13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32,20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32,20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80,64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80,64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  <w:bookmarkEnd w:id="1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F80B-5869-42BA-9284-92BB3805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Application>LibreOffice/6.4.0.3$Windows_X86_64 LibreOffice_project/b0a288ab3d2d4774cb44b62f04d5d28733ac6df8</Application>
  <Pages>7</Pages>
  <Words>2190</Words>
  <Characters>13887</Characters>
  <CharactersWithSpaces>15403</CharactersWithSpaces>
  <Paragraphs>1189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2025-10-02T12:10:14Z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